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090D348">
      <w:pPr>
        <w:keepNext w:val="0"/>
        <w:keepLines w:val="0"/>
        <w:pageBreakBefore w:val="0"/>
        <w:widowControl w:val="0"/>
        <w:shd w:val="solid" w:color="FFFFFF" w:fill="auto"/>
        <w:kinsoku/>
        <w:wordWrap/>
        <w:overflowPunct/>
        <w:topLinePunct w:val="0"/>
        <w:autoSpaceDE/>
        <w:autoSpaceDN w:val="0"/>
        <w:bidi w:val="0"/>
        <w:adjustRightInd/>
        <w:snapToGrid/>
        <w:spacing w:line="500" w:lineRule="exact"/>
        <w:ind w:left="-160" w:leftChars="-50" w:right="-160" w:rightChars="-50" w:firstLine="643" w:firstLineChars="200"/>
        <w:jc w:val="center"/>
        <w:textAlignment w:val="auto"/>
        <w:outlineLvl w:val="9"/>
        <w:rPr>
          <w:rFonts w:hint="eastAsia" w:ascii="仿宋" w:hAnsi="仿宋" w:eastAsia="仿宋" w:cs="仿宋"/>
          <w:b/>
          <w:bCs w:val="0"/>
          <w:i w:val="0"/>
          <w:snapToGrid/>
          <w:color w:val="000000"/>
          <w:sz w:val="32"/>
          <w:szCs w:val="32"/>
          <w:shd w:val="clear" w:color="auto" w:fill="FFFFFF"/>
          <w:lang w:eastAsia="zh-CN"/>
        </w:rPr>
      </w:pPr>
      <w:r>
        <w:rPr>
          <w:rFonts w:hint="eastAsia" w:ascii="仿宋" w:hAnsi="仿宋" w:eastAsia="仿宋" w:cs="仿宋"/>
          <w:b/>
          <w:bCs w:val="0"/>
          <w:i w:val="0"/>
          <w:snapToGrid/>
          <w:color w:val="000000"/>
          <w:sz w:val="32"/>
          <w:szCs w:val="32"/>
          <w:shd w:val="clear" w:color="auto" w:fill="FFFFFF"/>
          <w:lang w:eastAsia="zh-CN"/>
        </w:rPr>
        <w:br w:type="textWrapping"/>
      </w:r>
    </w:p>
    <w:p w14:paraId="4E5F747F">
      <w:pPr>
        <w:keepNext w:val="0"/>
        <w:keepLines w:val="0"/>
        <w:pageBreakBefore w:val="0"/>
        <w:widowControl w:val="0"/>
        <w:shd w:val="solid" w:color="FFFFFF" w:fill="auto"/>
        <w:kinsoku/>
        <w:wordWrap/>
        <w:overflowPunct/>
        <w:topLinePunct w:val="0"/>
        <w:autoSpaceDE/>
        <w:autoSpaceDN w:val="0"/>
        <w:bidi w:val="0"/>
        <w:adjustRightInd/>
        <w:snapToGrid/>
        <w:spacing w:line="700" w:lineRule="exact"/>
        <w:ind w:left="-160" w:leftChars="-50" w:right="-160" w:rightChars="-50" w:firstLine="964" w:firstLineChars="200"/>
        <w:jc w:val="center"/>
        <w:textAlignment w:val="auto"/>
        <w:outlineLvl w:val="9"/>
        <w:rPr>
          <w:rFonts w:hint="eastAsia" w:ascii="黑体" w:hAnsi="黑体" w:eastAsia="黑体" w:cs="黑体"/>
          <w:b/>
          <w:bCs w:val="0"/>
          <w:i w:val="0"/>
          <w:snapToGrid/>
          <w:color w:val="000000"/>
          <w:sz w:val="48"/>
          <w:szCs w:val="48"/>
          <w:shd w:val="clear" w:color="auto" w:fill="FFFFFF"/>
        </w:rPr>
      </w:pPr>
      <w:r>
        <w:rPr>
          <w:rFonts w:hint="eastAsia" w:ascii="黑体" w:hAnsi="黑体" w:eastAsia="黑体" w:cs="黑体"/>
          <w:b/>
          <w:bCs w:val="0"/>
          <w:i w:val="0"/>
          <w:snapToGrid/>
          <w:color w:val="000000"/>
          <w:sz w:val="48"/>
          <w:szCs w:val="48"/>
          <w:shd w:val="clear" w:color="auto" w:fill="FFFFFF"/>
          <w:lang w:eastAsia="zh-CN"/>
        </w:rPr>
        <w:t>商 水 县 人 民 政 府</w:t>
      </w:r>
    </w:p>
    <w:p w14:paraId="5526FC8B">
      <w:pPr>
        <w:keepNext w:val="0"/>
        <w:keepLines w:val="0"/>
        <w:pageBreakBefore w:val="0"/>
        <w:widowControl w:val="0"/>
        <w:shd w:val="solid" w:color="FFFFFF" w:fill="auto"/>
        <w:kinsoku/>
        <w:wordWrap/>
        <w:overflowPunct/>
        <w:topLinePunct w:val="0"/>
        <w:autoSpaceDE/>
        <w:autoSpaceDN w:val="0"/>
        <w:bidi w:val="0"/>
        <w:adjustRightInd/>
        <w:snapToGrid/>
        <w:spacing w:line="700" w:lineRule="exact"/>
        <w:ind w:left="-160" w:leftChars="-50" w:right="-160" w:rightChars="-50" w:firstLine="964" w:firstLineChars="200"/>
        <w:jc w:val="center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/>
          <w:bCs w:val="0"/>
          <w:i w:val="0"/>
          <w:snapToGrid/>
          <w:color w:val="000000"/>
          <w:sz w:val="48"/>
          <w:szCs w:val="48"/>
          <w:shd w:val="clear" w:color="auto" w:fill="FFFFFF"/>
          <w:lang w:eastAsia="zh-CN"/>
        </w:rPr>
        <w:t>行政复议决定书</w:t>
      </w:r>
    </w:p>
    <w:p w14:paraId="2D3D83C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left="-160" w:leftChars="-50" w:right="-160" w:rightChars="-50" w:firstLine="640" w:firstLineChars="200"/>
        <w:jc w:val="center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商政复决字</w:t>
      </w:r>
      <w:r>
        <w:rPr>
          <w:rFonts w:hint="eastAsia" w:ascii="仿宋" w:hAnsi="仿宋" w:eastAsia="仿宋" w:cs="仿宋"/>
          <w:lang w:val="en-US" w:eastAsia="zh-CN"/>
        </w:rPr>
        <w:t>【</w:t>
      </w:r>
      <w:r>
        <w:rPr>
          <w:rFonts w:hint="eastAsia" w:ascii="仿宋" w:hAnsi="仿宋" w:eastAsia="仿宋" w:cs="仿宋"/>
          <w:sz w:val="32"/>
          <w:szCs w:val="32"/>
        </w:rPr>
        <w:t>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】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38</w:t>
      </w:r>
      <w:r>
        <w:rPr>
          <w:rFonts w:hint="eastAsia" w:ascii="仿宋" w:hAnsi="仿宋" w:eastAsia="仿宋" w:cs="仿宋"/>
          <w:sz w:val="32"/>
          <w:szCs w:val="32"/>
        </w:rPr>
        <w:t>号</w:t>
      </w:r>
    </w:p>
    <w:p w14:paraId="503B8A4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left="-160" w:leftChars="-50" w:right="-160" w:rightChars="-50" w:firstLine="640" w:firstLineChars="200"/>
        <w:jc w:val="center"/>
        <w:textAlignment w:val="auto"/>
        <w:rPr>
          <w:rFonts w:hint="eastAsia" w:ascii="仿宋" w:hAnsi="仿宋" w:eastAsia="仿宋" w:cs="仿宋"/>
          <w:sz w:val="32"/>
          <w:szCs w:val="32"/>
        </w:rPr>
      </w:pPr>
    </w:p>
    <w:p w14:paraId="401BF34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643" w:firstLineChars="200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</w:rPr>
        <w:t>申</w:t>
      </w:r>
      <w:r>
        <w:rPr>
          <w:rFonts w:hint="eastAsia" w:ascii="仿宋" w:hAnsi="仿宋" w:eastAsia="仿宋" w:cs="仿宋"/>
          <w:b/>
          <w:bCs/>
          <w:lang w:val="en-US" w:eastAsia="zh-CN"/>
        </w:rPr>
        <w:t xml:space="preserve">  </w:t>
      </w:r>
      <w:r>
        <w:rPr>
          <w:rFonts w:hint="eastAsia" w:ascii="仿宋" w:hAnsi="仿宋" w:eastAsia="仿宋" w:cs="仿宋"/>
          <w:b/>
          <w:bCs/>
        </w:rPr>
        <w:t>请</w:t>
      </w:r>
      <w:r>
        <w:rPr>
          <w:rFonts w:hint="eastAsia" w:ascii="仿宋" w:hAnsi="仿宋" w:eastAsia="仿宋" w:cs="仿宋"/>
          <w:b/>
          <w:bCs/>
          <w:lang w:val="en-US" w:eastAsia="zh-CN"/>
        </w:rPr>
        <w:t xml:space="preserve">  </w:t>
      </w:r>
      <w:r>
        <w:rPr>
          <w:rFonts w:hint="eastAsia" w:ascii="仿宋" w:hAnsi="仿宋" w:eastAsia="仿宋" w:cs="仿宋"/>
          <w:b/>
          <w:bCs/>
        </w:rPr>
        <w:t>人：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夏XX</w:t>
      </w:r>
    </w:p>
    <w:p w14:paraId="42DE3D8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643" w:firstLineChars="200"/>
        <w:textAlignment w:val="auto"/>
        <w:rPr>
          <w:rFonts w:hint="default" w:ascii="仿宋" w:hAnsi="仿宋" w:eastAsia="仿宋" w:cs="仿宋"/>
          <w:lang w:val="en-US" w:eastAsia="zh-CN"/>
        </w:rPr>
      </w:pPr>
      <w:r>
        <w:rPr>
          <w:rFonts w:hint="eastAsia" w:ascii="仿宋" w:hAnsi="仿宋" w:eastAsia="仿宋" w:cs="仿宋"/>
          <w:b/>
          <w:bCs/>
        </w:rPr>
        <w:t>被</w:t>
      </w:r>
      <w:r>
        <w:rPr>
          <w:rFonts w:hint="eastAsia" w:ascii="仿宋" w:hAnsi="仿宋" w:eastAsia="仿宋" w:cs="仿宋"/>
          <w:b/>
          <w:bCs/>
          <w:lang w:val="en-US" w:eastAsia="zh-CN"/>
        </w:rPr>
        <w:t xml:space="preserve"> </w:t>
      </w:r>
      <w:r>
        <w:rPr>
          <w:rFonts w:hint="eastAsia" w:ascii="仿宋" w:hAnsi="仿宋" w:eastAsia="仿宋" w:cs="仿宋"/>
          <w:b/>
          <w:bCs/>
        </w:rPr>
        <w:t>申</w:t>
      </w:r>
      <w:r>
        <w:rPr>
          <w:rFonts w:hint="eastAsia" w:ascii="仿宋" w:hAnsi="仿宋" w:eastAsia="仿宋" w:cs="仿宋"/>
          <w:b/>
          <w:bCs/>
          <w:lang w:val="en-US" w:eastAsia="zh-CN"/>
        </w:rPr>
        <w:t xml:space="preserve"> </w:t>
      </w:r>
      <w:r>
        <w:rPr>
          <w:rFonts w:hint="eastAsia" w:ascii="仿宋" w:hAnsi="仿宋" w:eastAsia="仿宋" w:cs="仿宋"/>
          <w:b/>
          <w:bCs/>
        </w:rPr>
        <w:t>请人：</w:t>
      </w:r>
      <w:r>
        <w:rPr>
          <w:rFonts w:hint="eastAsia" w:ascii="仿宋" w:hAnsi="仿宋" w:eastAsia="仿宋" w:cs="仿宋"/>
          <w:lang w:val="en-US" w:eastAsia="zh-CN"/>
        </w:rPr>
        <w:t>商水县自然资源局</w:t>
      </w:r>
    </w:p>
    <w:p w14:paraId="4BFA85D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-160" w:rightChars="-50"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lang w:val="en-US" w:eastAsia="zh-CN"/>
        </w:rPr>
        <w:t>申请人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夏XX</w:t>
      </w:r>
      <w:r>
        <w:rPr>
          <w:rFonts w:hint="eastAsia" w:ascii="仿宋" w:hAnsi="仿宋" w:eastAsia="仿宋" w:cs="仿宋"/>
          <w:lang w:val="en-US" w:eastAsia="zh-CN"/>
        </w:rPr>
        <w:t>不服被申请人商水县自然资源局2021年7月19日作出的商自然资发【2021】XX号行政决定提出行政复议申请，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本机关</w:t>
      </w:r>
      <w:r>
        <w:rPr>
          <w:rFonts w:hint="eastAsia" w:ascii="仿宋" w:hAnsi="仿宋" w:eastAsia="仿宋" w:cs="仿宋"/>
          <w:sz w:val="32"/>
          <w:szCs w:val="32"/>
        </w:rPr>
        <w:t>于202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仿宋"/>
          <w:sz w:val="32"/>
          <w:szCs w:val="32"/>
        </w:rPr>
        <w:t>年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8</w:t>
      </w:r>
      <w:r>
        <w:rPr>
          <w:rFonts w:hint="eastAsia" w:ascii="仿宋" w:hAnsi="仿宋" w:eastAsia="仿宋" w:cs="仿宋"/>
          <w:sz w:val="32"/>
          <w:szCs w:val="32"/>
        </w:rPr>
        <w:t>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13</w:t>
      </w:r>
      <w:r>
        <w:rPr>
          <w:rFonts w:hint="eastAsia" w:ascii="仿宋" w:hAnsi="仿宋" w:eastAsia="仿宋" w:cs="仿宋"/>
          <w:sz w:val="32"/>
          <w:szCs w:val="32"/>
        </w:rPr>
        <w:t>日依法受理。现已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复议</w:t>
      </w:r>
      <w:r>
        <w:rPr>
          <w:rFonts w:hint="eastAsia" w:ascii="仿宋" w:hAnsi="仿宋" w:eastAsia="仿宋" w:cs="仿宋"/>
          <w:sz w:val="32"/>
          <w:szCs w:val="32"/>
        </w:rPr>
        <w:t>终结。</w:t>
      </w:r>
    </w:p>
    <w:p w14:paraId="7DC2B73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643" w:firstLineChars="200"/>
        <w:textAlignment w:val="auto"/>
        <w:rPr>
          <w:rFonts w:hint="default" w:ascii="仿宋" w:hAnsi="仿宋" w:eastAsia="仿宋" w:cs="仿宋"/>
          <w:lang w:val="en-US" w:eastAsia="zh-CN"/>
        </w:rPr>
      </w:pPr>
      <w:r>
        <w:rPr>
          <w:rFonts w:hint="eastAsia" w:ascii="仿宋" w:hAnsi="仿宋" w:eastAsia="仿宋" w:cs="仿宋"/>
          <w:b/>
          <w:bCs/>
        </w:rPr>
        <w:t>申请事项：</w:t>
      </w:r>
      <w:r>
        <w:rPr>
          <w:rFonts w:hint="eastAsia" w:ascii="仿宋" w:hAnsi="仿宋" w:eastAsia="仿宋" w:cs="仿宋"/>
        </w:rPr>
        <w:t>依法撤销</w:t>
      </w:r>
      <w:r>
        <w:rPr>
          <w:rFonts w:hint="eastAsia" w:ascii="仿宋" w:hAnsi="仿宋" w:eastAsia="仿宋" w:cs="仿宋"/>
          <w:lang w:val="en-US" w:eastAsia="zh-CN"/>
        </w:rPr>
        <w:t>商自然资发【2021】XX号行政决定。</w:t>
      </w:r>
    </w:p>
    <w:p w14:paraId="3F99160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643" w:firstLineChars="200"/>
        <w:textAlignment w:val="auto"/>
        <w:rPr>
          <w:rFonts w:hint="eastAsia" w:ascii="仿宋" w:hAnsi="仿宋" w:eastAsia="仿宋" w:cs="仿宋"/>
          <w:b/>
          <w:bCs/>
          <w:lang w:val="en-US" w:eastAsia="zh-CN"/>
        </w:rPr>
      </w:pPr>
      <w:r>
        <w:rPr>
          <w:rFonts w:hint="eastAsia" w:ascii="仿宋" w:hAnsi="仿宋" w:eastAsia="仿宋" w:cs="仿宋"/>
          <w:b/>
          <w:bCs/>
          <w:lang w:val="en-US" w:eastAsia="zh-CN"/>
        </w:rPr>
        <w:t>申请人称：</w:t>
      </w:r>
    </w:p>
    <w:p w14:paraId="22B3618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640" w:firstLineChars="200"/>
        <w:textAlignment w:val="auto"/>
        <w:rPr>
          <w:rFonts w:hint="eastAsia" w:ascii="仿宋" w:hAnsi="仿宋" w:eastAsia="仿宋" w:cs="仿宋"/>
          <w:lang w:val="en-US" w:eastAsia="zh-CN"/>
        </w:rPr>
      </w:pPr>
      <w:r>
        <w:rPr>
          <w:rFonts w:hint="eastAsia" w:ascii="仿宋" w:hAnsi="仿宋" w:eastAsia="仿宋" w:cs="仿宋"/>
          <w:lang w:val="en-US" w:eastAsia="zh-CN"/>
        </w:rPr>
        <w:t>1、程序违法</w:t>
      </w:r>
      <w:r>
        <w:rPr>
          <w:rFonts w:hint="eastAsia" w:ascii="仿宋" w:hAnsi="仿宋" w:eastAsia="仿宋" w:cs="仿宋"/>
        </w:rPr>
        <w:t>：</w:t>
      </w:r>
      <w:r>
        <w:rPr>
          <w:rFonts w:hint="eastAsia" w:ascii="仿宋" w:hAnsi="仿宋" w:eastAsia="仿宋" w:cs="仿宋"/>
          <w:sz w:val="32"/>
          <w:szCs w:val="32"/>
        </w:rPr>
        <w:t>2021年8月3日，被申请人向申请人送达商自然资发</w:t>
      </w:r>
      <w:r>
        <w:rPr>
          <w:rFonts w:hint="eastAsia" w:ascii="仿宋" w:hAnsi="仿宋" w:eastAsia="仿宋" w:cs="仿宋"/>
          <w:lang w:val="en-US" w:eastAsia="zh-CN"/>
        </w:rPr>
        <w:t>【2021】XX</w:t>
      </w:r>
      <w:r>
        <w:rPr>
          <w:rFonts w:hint="eastAsia" w:ascii="仿宋" w:hAnsi="仿宋" w:eastAsia="仿宋" w:cs="仿宋"/>
          <w:sz w:val="32"/>
          <w:szCs w:val="32"/>
        </w:rPr>
        <w:t>号关于撤销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夏XX</w:t>
      </w:r>
      <w:r>
        <w:rPr>
          <w:rFonts w:hint="eastAsia" w:ascii="仿宋" w:hAnsi="仿宋" w:eastAsia="仿宋" w:cs="仿宋"/>
          <w:sz w:val="32"/>
          <w:szCs w:val="32"/>
        </w:rPr>
        <w:t>房屋产权证的决定，申请人才得知房产证被撤销事宜，在此之前，被申请人从未通知过申请人并进行调查核实，剥夺了申请人的陈述权、申辩权和听证权。</w:t>
      </w:r>
    </w:p>
    <w:p w14:paraId="4E04C4A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leftChars="0" w:firstLine="640" w:firstLineChars="200"/>
        <w:jc w:val="left"/>
        <w:textAlignment w:val="auto"/>
        <w:rPr>
          <w:rFonts w:hint="eastAsia" w:ascii="仿宋" w:hAnsi="仿宋" w:eastAsia="仿宋" w:cs="仿宋"/>
          <w:lang w:val="en-US" w:eastAsia="zh-CN"/>
        </w:rPr>
      </w:pPr>
      <w:r>
        <w:rPr>
          <w:rFonts w:hint="eastAsia" w:ascii="仿宋" w:hAnsi="仿宋" w:eastAsia="仿宋" w:cs="仿宋"/>
          <w:lang w:val="en-US" w:eastAsia="zh-CN"/>
        </w:rPr>
        <w:t>2、适用法律错误</w:t>
      </w:r>
      <w:r>
        <w:rPr>
          <w:rFonts w:hint="eastAsia" w:ascii="仿宋" w:hAnsi="仿宋" w:eastAsia="仿宋" w:cs="仿宋"/>
        </w:rPr>
        <w:t>：</w:t>
      </w:r>
      <w:r>
        <w:rPr>
          <w:rFonts w:hint="eastAsia" w:ascii="仿宋" w:hAnsi="仿宋" w:eastAsia="仿宋" w:cs="仿宋"/>
          <w:lang w:val="en-US" w:eastAsia="zh-CN"/>
        </w:rPr>
        <w:t>被申请人作出撤销申请人房产证的依据是《不动产登记暂行条例》第六条、《不动产登记暂行条例实施细则》第十七条第四项、商水县纪委监委《关于对魏集镇党桥10户农房违规办理房产证的监察建议》，以上均不能成为被申请人作出撤销决定的法律依据。</w:t>
      </w:r>
    </w:p>
    <w:p w14:paraId="0F1F1366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640" w:firstLineChars="200"/>
        <w:jc w:val="left"/>
        <w:textAlignment w:val="auto"/>
        <w:rPr>
          <w:rFonts w:hint="default" w:ascii="仿宋" w:hAnsi="仿宋" w:eastAsia="仿宋" w:cs="仿宋"/>
          <w:lang w:val="en-US" w:eastAsia="zh-CN"/>
        </w:rPr>
      </w:pPr>
      <w:r>
        <w:rPr>
          <w:rFonts w:hint="eastAsia" w:ascii="仿宋" w:hAnsi="仿宋" w:eastAsia="仿宋" w:cs="仿宋"/>
          <w:lang w:val="en-US" w:eastAsia="zh-CN"/>
        </w:rPr>
        <w:t>3、无事实依据：申请人的房屋于2010年开始建设，施工时附近无河流水面，也未划定河道范围，未立标定界，后来经人工开挖河流，但未设堤防和护堤地，申请人房屋离河流水面距离较远，也未占用堤防和护堤地，并未违反《中华人民共和国河道管理条例》和《河南省河道管理条例实施办法》相关规定，不属于违建。申请人建房经村、乡、县三级部门层层审批，系合法建设，所以商水县房地产管理中心才于2012年3月为申请人办理不动产登记，不动产登记证书形成公示效力已长达9年之久。</w:t>
      </w:r>
    </w:p>
    <w:p w14:paraId="190816F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643" w:firstLineChars="200"/>
        <w:jc w:val="left"/>
        <w:textAlignment w:val="auto"/>
        <w:rPr>
          <w:rFonts w:hint="eastAsia" w:ascii="仿宋" w:hAnsi="仿宋" w:eastAsia="仿宋" w:cs="仿宋"/>
          <w:b/>
          <w:bCs/>
        </w:rPr>
      </w:pPr>
      <w:r>
        <w:rPr>
          <w:rFonts w:hint="eastAsia" w:ascii="仿宋" w:hAnsi="仿宋" w:eastAsia="仿宋" w:cs="仿宋"/>
          <w:b/>
          <w:bCs/>
        </w:rPr>
        <w:t>被申请人称：</w:t>
      </w:r>
    </w:p>
    <w:p w14:paraId="7E2962F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640" w:firstLineChars="200"/>
        <w:textAlignment w:val="auto"/>
        <w:rPr>
          <w:rFonts w:hint="eastAsia" w:ascii="仿宋" w:hAnsi="仿宋" w:eastAsia="仿宋" w:cs="仿宋"/>
        </w:rPr>
      </w:pPr>
      <w:r>
        <w:rPr>
          <w:rFonts w:hint="eastAsia" w:ascii="仿宋" w:hAnsi="仿宋" w:eastAsia="仿宋" w:cs="仿宋"/>
          <w:lang w:eastAsia="zh-CN"/>
        </w:rPr>
        <w:t>被申请人</w:t>
      </w:r>
      <w:r>
        <w:rPr>
          <w:rFonts w:hint="eastAsia" w:ascii="仿宋" w:hAnsi="仿宋" w:eastAsia="仿宋" w:cs="仿宋"/>
        </w:rPr>
        <w:t>收到商水县</w:t>
      </w:r>
      <w:bookmarkStart w:id="0" w:name="_GoBack"/>
      <w:bookmarkEnd w:id="0"/>
      <w:r>
        <w:rPr>
          <w:rFonts w:hint="eastAsia" w:ascii="仿宋" w:hAnsi="仿宋" w:eastAsia="仿宋" w:cs="仿宋"/>
        </w:rPr>
        <w:t>人民政府提交行政复议答复通知书，行政复议申请人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夏XX</w:t>
      </w:r>
      <w:r>
        <w:rPr>
          <w:rFonts w:hint="eastAsia" w:ascii="仿宋" w:hAnsi="仿宋" w:eastAsia="仿宋" w:cs="仿宋"/>
        </w:rPr>
        <w:t>因不服本局作出的</w:t>
      </w:r>
      <w:r>
        <w:rPr>
          <w:rFonts w:hint="eastAsia" w:ascii="仿宋" w:hAnsi="仿宋" w:eastAsia="仿宋" w:cs="仿宋"/>
          <w:lang w:val="en-US" w:eastAsia="zh-CN"/>
        </w:rPr>
        <w:t>商自然资发【2021】XX号行政决定</w:t>
      </w:r>
      <w:r>
        <w:rPr>
          <w:rFonts w:hint="eastAsia" w:ascii="仿宋" w:hAnsi="仿宋" w:eastAsia="仿宋" w:cs="仿宋"/>
        </w:rPr>
        <w:t>。现答复如下：</w:t>
      </w:r>
    </w:p>
    <w:p w14:paraId="7D4F205A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640" w:firstLineChars="200"/>
        <w:textAlignment w:val="auto"/>
        <w:rPr>
          <w:rFonts w:hint="default" w:ascii="仿宋" w:hAnsi="仿宋" w:eastAsia="仿宋" w:cs="仿宋"/>
          <w:lang w:val="en-US" w:eastAsia="zh-CN"/>
        </w:rPr>
      </w:pPr>
      <w:r>
        <w:rPr>
          <w:rFonts w:hint="eastAsia" w:ascii="仿宋" w:hAnsi="仿宋" w:eastAsia="仿宋" w:cs="仿宋"/>
          <w:lang w:val="en-US" w:eastAsia="zh-CN"/>
        </w:rPr>
        <w:t>2021年4月15日，我局收到商水县纪委监委《关于对魏集镇党桥10户农房违规办理房产证的监察建议》、商水县水利局《关于魏集镇位XX等十户违法在河道内建房并办理房产证的工作函》，我局对申请人的房屋进行实地勘察，了解魏集镇党桥宅基地分布图。发现申请人建房土地的性质是河流水面，不是建设用地，房屋占用河道的行为属违法行为。申请人隐瞒相应真实情况、提交虚假材料等非法手段获取房屋登记。根据《房屋登记办法》第八十一条之规定、《不动产登记暂行条例实施细则》第十七条第四款，依职权注销登记，被申请人享有撤销登记的职权。应当依法予以撤销申请人的房屋产权证。</w:t>
      </w:r>
    </w:p>
    <w:p w14:paraId="6F9405F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640"/>
        <w:textAlignment w:val="auto"/>
        <w:rPr>
          <w:rFonts w:hint="eastAsia" w:ascii="仿宋" w:hAnsi="仿宋" w:eastAsia="仿宋" w:cs="仿宋"/>
          <w:lang w:val="en-US" w:eastAsia="zh-CN"/>
        </w:rPr>
      </w:pPr>
      <w:r>
        <w:rPr>
          <w:rFonts w:hint="eastAsia" w:ascii="仿宋" w:hAnsi="仿宋" w:eastAsia="仿宋" w:cs="仿宋"/>
          <w:b/>
          <w:bCs/>
          <w:lang w:val="en-US" w:eastAsia="zh-CN"/>
        </w:rPr>
        <w:t>经审理查明：</w:t>
      </w:r>
      <w:r>
        <w:rPr>
          <w:rFonts w:hint="eastAsia" w:ascii="仿宋" w:hAnsi="仿宋" w:eastAsia="仿宋" w:cs="仿宋"/>
          <w:lang w:val="en-US" w:eastAsia="zh-CN"/>
        </w:rPr>
        <w:t>2021年4月15日，被申请人收到商水县纪委监委《关于对魏集镇党桥10户农房违规办理房产证的监察建议》、商水县水利局《关于魏集镇位XX等十户违法在河道内建房并办理房产证的工作函》，被申请人对申请人的房屋进行实地勘察，了解魏集镇党桥宅基地分布图。发现申请人建房土地的性质是河流水面，不是建设用地，房屋占用河道的行为属违法行为。申请人隐瞒相应真实情况、提交虚假材料等非法手段获取房屋登记。根据《房屋登记办法》第八十一条之规定、《不动产登记暂行条例实施细则》第十七条第四款，依职权注销登记，被申请人享有撤销登记的职权。</w:t>
      </w:r>
    </w:p>
    <w:p w14:paraId="0D456EF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640"/>
        <w:textAlignment w:val="auto"/>
        <w:rPr>
          <w:rFonts w:hint="default" w:ascii="仿宋" w:hAnsi="仿宋" w:eastAsia="仿宋" w:cs="仿宋"/>
          <w:b w:val="0"/>
          <w:bCs w:val="0"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lang w:val="en-US" w:eastAsia="zh-CN"/>
        </w:rPr>
        <w:t>以上事实有以下证据证明：1、商水县纪委监委《关于对魏集镇党桥10户农房违规办理房产证的监察建议》；2、商水县水利局《关于魏集镇位XX等十户违法在河道内建房并办理房产证的工作函》；</w:t>
      </w:r>
      <w:r>
        <w:rPr>
          <w:rFonts w:hint="eastAsia" w:ascii="仿宋" w:hAnsi="仿宋" w:eastAsia="仿宋"/>
        </w:rPr>
        <w:t>3、影像资料等予以证实。</w:t>
      </w:r>
    </w:p>
    <w:p w14:paraId="63031B86">
      <w:pPr>
        <w:pStyle w:val="4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60" w:lineRule="exact"/>
        <w:ind w:right="0" w:firstLine="643" w:firstLineChars="200"/>
        <w:jc w:val="both"/>
        <w:textAlignment w:val="auto"/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color w:val="auto"/>
          <w:sz w:val="32"/>
          <w:szCs w:val="32"/>
          <w:shd w:val="clear" w:color="auto" w:fill="FFFFFF"/>
          <w:lang w:val="en-US" w:eastAsia="zh-CN"/>
        </w:rPr>
        <w:t>本机关认为：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shd w:val="clear" w:color="auto" w:fill="FFFFFF"/>
        </w:rPr>
        <w:t>被申请人作出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shd w:val="clear" w:color="auto" w:fill="FFFFFF"/>
          <w:lang w:eastAsia="zh-CN"/>
        </w:rPr>
        <w:t>撤销房产证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shd w:val="clear" w:color="auto" w:fill="FFFFFF"/>
        </w:rPr>
        <w:t>的行政决定认定事实清楚，适用法律正确，内容适当，根据《中华人民共和国行政复议法》第二十八条第一款第（一）项之规定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shd w:val="clear" w:color="auto" w:fill="FFFFFF"/>
          <w:lang w:eastAsia="zh-CN"/>
        </w:rPr>
        <w:t>，</w:t>
      </w:r>
      <w:r>
        <w:rPr>
          <w:rFonts w:hint="eastAsia" w:ascii="仿宋" w:hAnsi="仿宋" w:eastAsia="仿宋" w:cs="仿宋"/>
          <w:b/>
          <w:bCs/>
          <w:color w:val="auto"/>
          <w:sz w:val="32"/>
          <w:szCs w:val="32"/>
          <w:shd w:val="clear" w:color="auto" w:fill="FFFFFF"/>
        </w:rPr>
        <w:t>本机关决定：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shd w:val="clear" w:color="auto" w:fill="FFFFFF"/>
        </w:rPr>
        <w:t>维持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shd w:val="clear" w:color="auto" w:fill="FFFFFF"/>
          <w:lang w:val="en-US" w:eastAsia="zh-CN"/>
        </w:rPr>
        <w:t>商水县自然资源局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shd w:val="clear" w:color="auto" w:fill="FFFFFF"/>
        </w:rPr>
        <w:t>作出的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商自然资发</w:t>
      </w:r>
      <w:r>
        <w:rPr>
          <w:rFonts w:hint="eastAsia" w:ascii="仿宋" w:hAnsi="仿宋" w:eastAsia="仿宋" w:cs="仿宋"/>
          <w:lang w:val="en-US" w:eastAsia="zh-CN"/>
        </w:rPr>
        <w:t>【2021】XX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号行政决定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shd w:val="clear" w:color="auto" w:fill="FFFFFF"/>
        </w:rPr>
        <w:t>。</w:t>
      </w:r>
    </w:p>
    <w:p w14:paraId="49419AC1">
      <w:pPr>
        <w:pStyle w:val="4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60" w:lineRule="exact"/>
        <w:ind w:left="0" w:right="0" w:firstLine="672"/>
        <w:jc w:val="both"/>
        <w:textAlignment w:val="auto"/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shd w:val="clear" w:color="auto" w:fill="FFFFFF"/>
        </w:rPr>
        <w:t>申请人如不服本行政复议决定，可以自收到本行政复议决定书之日起15日内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shd w:val="clear" w:color="auto" w:fill="FFFFFF"/>
          <w:lang w:eastAsia="zh-CN"/>
        </w:rPr>
        <w:t>，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shd w:val="clear" w:color="auto" w:fill="FFFFFF"/>
          <w:lang w:val="en-US" w:eastAsia="zh-CN"/>
        </w:rPr>
        <w:t>依法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shd w:val="clear" w:color="auto" w:fill="FFFFFF"/>
        </w:rPr>
        <w:t xml:space="preserve">向人民法院提起行政诉讼。          　　　        </w:t>
      </w:r>
    </w:p>
    <w:p w14:paraId="55823997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60" w:lineRule="exact"/>
        <w:ind w:right="0" w:rightChars="0" w:firstLine="640" w:firstLineChars="200"/>
        <w:jc w:val="both"/>
        <w:textAlignment w:val="auto"/>
        <w:rPr>
          <w:rFonts w:hint="default" w:ascii="仿宋" w:hAnsi="仿宋" w:eastAsia="仿宋" w:cs="仿宋"/>
          <w:b w:val="0"/>
          <w:bCs w:val="0"/>
          <w:color w:val="auto"/>
          <w:sz w:val="32"/>
          <w:szCs w:val="32"/>
          <w:shd w:val="clear" w:color="auto" w:fill="FFFFFF"/>
          <w:lang w:val="en-US" w:eastAsia="zh-CN"/>
        </w:rPr>
      </w:pPr>
    </w:p>
    <w:p w14:paraId="0F5210B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640" w:firstLineChars="200"/>
        <w:textAlignment w:val="auto"/>
        <w:rPr>
          <w:rFonts w:hint="default" w:ascii="仿宋" w:hAnsi="仿宋" w:eastAsia="仿宋" w:cs="仿宋"/>
          <w:lang w:val="en-US" w:eastAsia="zh-CN"/>
        </w:rPr>
      </w:pPr>
    </w:p>
    <w:p w14:paraId="77CBA20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-160" w:rightChars="-50" w:firstLine="5440" w:firstLineChars="1700"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2021年10月12日</w:t>
      </w:r>
    </w:p>
    <w:sectPr>
      <w:footerReference r:id="rId3" w:type="default"/>
      <w:pgSz w:w="11906" w:h="16838"/>
      <w:pgMar w:top="1440" w:right="1689" w:bottom="1440" w:left="1689" w:header="851" w:footer="992" w:gutter="0"/>
      <w:pgNumType w:fmt="decimal" w:start="1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DejaVu Sans"/>
    <w:panose1 w:val="02020603050405020304"/>
    <w:charset w:val="B1"/>
    <w:family w:val="auto"/>
    <w:pitch w:val="default"/>
    <w:sig w:usb0="00000000" w:usb1="00000000" w:usb2="00000009" w:usb3="00000000" w:csb0="400001FF" w:csb1="FFFF0000"/>
  </w:font>
  <w:font w:name="宋体">
    <w:altName w:val="方正书宋_GBK"/>
    <w:panose1 w:val="02010600030101010101"/>
    <w:charset w:val="7A"/>
    <w:family w:val="auto"/>
    <w:pitch w:val="default"/>
    <w:sig w:usb0="00000000" w:usb1="00000000" w:usb2="00000006" w:usb3="00000000" w:csb0="00040001" w:csb1="00000000"/>
  </w:font>
  <w:font w:name="Wingdings">
    <w:altName w:val="MathJax_Vector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MathJax_Vector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">
    <w:altName w:val="方正仿宋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9D9EE9E">
    <w:pPr>
      <w:pStyle w:val="2"/>
      <w:tabs>
        <w:tab w:val="clear" w:pos="8306"/>
      </w:tabs>
      <w:rPr>
        <w:rFonts w:hint="eastAsia"/>
        <w:sz w:val="28"/>
        <w:szCs w:val="52"/>
        <w:lang w:val="en-US" w:eastAsia="zh-CN"/>
      </w:rPr>
    </w:pPr>
    <w:r>
      <w:rPr>
        <w:sz w:val="28"/>
      </w:rPr>
      <mc:AlternateContent>
        <mc:Choice Requires="wps">
          <w:drawing>
            <wp:anchor distT="0" distB="0" distL="0" distR="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097" name="矩形 409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ln>
                        <a:noFill/>
                      </a:ln>
                    </wps:spPr>
                    <wps:txbx>
                      <w:txbxContent>
                        <w:p w14:paraId="56E8CE6B">
                          <w:pPr>
                            <w:pStyle w:val="2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_x0000_s1026" o:spid="_x0000_s1026" o:spt="1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56E8CE6B">
                    <w:pPr>
                      <w:pStyle w:val="2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  <w:r>
      <w:rPr>
        <w:rFonts w:hint="eastAsia"/>
        <w:sz w:val="28"/>
        <w:lang w:val="en-US" w:eastAsia="zh-CN"/>
      </w:rPr>
      <w:t xml:space="preserve">                          </w:t>
    </w:r>
    <w:r>
      <w:rPr>
        <w:rFonts w:hint="eastAsia"/>
        <w:sz w:val="28"/>
        <w:lang w:eastAsia="zh-CN"/>
      </w:rPr>
      <w:t>—</w:t>
    </w:r>
    <w:r>
      <w:rPr>
        <w:rFonts w:hint="eastAsia"/>
        <w:lang w:eastAsia="zh-CN"/>
      </w:rPr>
      <w:tab/>
    </w:r>
    <w:r>
      <w:rPr>
        <w:rFonts w:hint="eastAsia"/>
        <w:lang w:val="en-US" w:eastAsia="zh-CN"/>
      </w:rPr>
      <w:t xml:space="preserve">     —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FjMDIyYTA1NDNhYjFmYTAyMzFlY2ZkZDJkYWJhMzMifQ=="/>
  </w:docVars>
  <w:rsids>
    <w:rsidRoot w:val="00000000"/>
    <w:rsid w:val="585D0FE8"/>
    <w:rsid w:val="686852E4"/>
    <w:rsid w:val="6F30041E"/>
    <w:rsid w:val="ABEF41A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仿宋"/>
      <w:color w:val="auto"/>
      <w:kern w:val="2"/>
      <w:sz w:val="32"/>
      <w:szCs w:val="32"/>
      <w:lang w:val="en-US" w:eastAsia="zh-CN" w:bidi="ar-SA"/>
    </w:rPr>
  </w:style>
  <w:style w:type="character" w:default="1" w:styleId="6">
    <w:name w:val="Default Paragraph Font"/>
    <w:qFormat/>
    <w:uiPriority w:val="0"/>
  </w:style>
  <w:style w:type="table" w:default="1" w:styleId="5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ascii="Calibri" w:hAnsi="Calibri"/>
      <w:sz w:val="2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/>
    </w:rPr>
  </w:style>
  <w:style w:type="character" w:styleId="7">
    <w:name w:val="Hyperlink"/>
    <w:basedOn w:val="6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1520</Words>
  <Characters>1618</Characters>
  <Paragraphs>30</Paragraphs>
  <TotalTime>2</TotalTime>
  <ScaleCrop>false</ScaleCrop>
  <LinksUpToDate>false</LinksUpToDate>
  <CharactersWithSpaces>1685</CharactersWithSpaces>
  <Application>WPS Office_12.8.2.1119_F1E327BC-269C-435d-A152-05C5408002CA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2019-07-24T08:24:00Z</dcterms:created>
  <dc:creator>飞情浪漫</dc:creator>
  <cp:lastModifiedBy>greatwall</cp:lastModifiedBy>
  <cp:lastPrinted>2021-10-13T16:25:00Z</cp:lastPrinted>
  <dcterms:modified xsi:type="dcterms:W3CDTF">2026-04-30T11:25:07Z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2052-12.8.2.1119</vt:lpwstr>
  </property>
  <property fmtid="{D5CDD505-2E9C-101B-9397-08002B2CF9AE}" pid="3" name="ICV">
    <vt:lpwstr>0fc48f5a65a0444fa950fb0f33ba98ea</vt:lpwstr>
  </property>
</Properties>
</file>