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1400" w:lineRule="exact"/>
        <w:jc w:val="center"/>
        <w:rPr>
          <w:rFonts w:ascii="宋体" w:hAnsi="宋体"/>
          <w:b/>
          <w:color w:val="FF0000"/>
          <w:w w:val="70"/>
          <w:sz w:val="140"/>
          <w:szCs w:val="140"/>
        </w:rPr>
      </w:pPr>
      <w:r>
        <w:rPr>
          <w:rFonts w:hint="eastAsia" w:ascii="宋体" w:hAnsi="宋体"/>
          <w:b/>
          <w:color w:val="FF0000"/>
          <w:w w:val="70"/>
          <w:sz w:val="140"/>
          <w:szCs w:val="140"/>
        </w:rPr>
        <w:t>商水县气象局文件</w:t>
      </w:r>
    </w:p>
    <w:p>
      <w:pPr>
        <w:jc w:val="center"/>
        <w:rPr>
          <w:rFonts w:ascii="仿宋" w:hAnsi="仿宋" w:eastAsia="仿宋"/>
          <w:color w:val="FF0000"/>
          <w:w w:val="90"/>
          <w:sz w:val="32"/>
          <w:szCs w:val="32"/>
        </w:rPr>
      </w:pPr>
    </w:p>
    <w:p>
      <w:pPr>
        <w:spacing w:line="400" w:lineRule="exact"/>
        <w:jc w:val="center"/>
        <w:rPr>
          <w:rFonts w:ascii="仿宋" w:hAnsi="仿宋" w:eastAsia="仿宋"/>
          <w:w w:val="90"/>
          <w:sz w:val="32"/>
          <w:szCs w:val="32"/>
        </w:rPr>
      </w:pPr>
      <w:r>
        <w:rPr>
          <w:rFonts w:hint="eastAsia" w:ascii="仿宋" w:hAnsi="仿宋" w:eastAsia="仿宋"/>
          <w:color w:val="FF0000"/>
          <w:w w:val="90"/>
          <w:sz w:val="32"/>
          <w:szCs w:val="32"/>
        </w:rPr>
        <w:t xml:space="preserve"> </w:t>
      </w:r>
      <w:r>
        <w:rPr>
          <w:rFonts w:hint="eastAsia" w:ascii="仿宋" w:hAnsi="仿宋" w:eastAsia="仿宋"/>
          <w:w w:val="90"/>
          <w:sz w:val="32"/>
          <w:szCs w:val="32"/>
        </w:rPr>
        <w:t>商气文【</w:t>
      </w:r>
      <w:r>
        <w:rPr>
          <w:rFonts w:ascii="仿宋" w:hAnsi="仿宋" w:eastAsia="仿宋"/>
          <w:w w:val="90"/>
          <w:sz w:val="32"/>
          <w:szCs w:val="32"/>
        </w:rPr>
        <w:t>202</w:t>
      </w:r>
      <w:r>
        <w:rPr>
          <w:rFonts w:hint="eastAsia" w:ascii="仿宋" w:hAnsi="仿宋" w:eastAsia="仿宋"/>
          <w:w w:val="90"/>
          <w:sz w:val="32"/>
          <w:szCs w:val="32"/>
          <w:lang w:val="en-US" w:eastAsia="zh-CN"/>
        </w:rPr>
        <w:t>1</w:t>
      </w:r>
      <w:r>
        <w:rPr>
          <w:rFonts w:hint="eastAsia" w:ascii="仿宋" w:hAnsi="仿宋" w:eastAsia="仿宋"/>
          <w:w w:val="90"/>
          <w:sz w:val="32"/>
          <w:szCs w:val="32"/>
        </w:rPr>
        <w:t>】</w:t>
      </w:r>
      <w:r>
        <w:rPr>
          <w:rFonts w:hint="eastAsia" w:ascii="仿宋" w:hAnsi="仿宋" w:eastAsia="仿宋"/>
          <w:w w:val="90"/>
          <w:sz w:val="32"/>
          <w:szCs w:val="32"/>
          <w:lang w:val="en-US" w:eastAsia="zh-CN"/>
        </w:rPr>
        <w:t>11</w:t>
      </w:r>
      <w:r>
        <w:rPr>
          <w:rFonts w:hint="eastAsia" w:ascii="仿宋" w:hAnsi="仿宋" w:eastAsia="仿宋"/>
          <w:w w:val="90"/>
          <w:sz w:val="32"/>
          <w:szCs w:val="32"/>
        </w:rPr>
        <w:t>号</w:t>
      </w:r>
    </w:p>
    <w:p>
      <w:pPr>
        <w:rPr>
          <w:rFonts w:hint="eastAsia" w:ascii="仿宋_GB2312" w:eastAsia="仿宋_GB2312"/>
          <w:sz w:val="32"/>
          <w:szCs w:val="32"/>
        </w:rPr>
      </w:pPr>
      <w:r>
        <w:rPr>
          <w:rFonts w:hint="eastAsia" w:ascii="仿宋_GB2312" w:eastAsia="仿宋_GB2312"/>
          <w:sz w:val="32"/>
          <w:szCs w:val="32"/>
        </w:rPr>
        <mc:AlternateContent>
          <mc:Choice Requires="wps">
            <w:drawing>
              <wp:anchor distT="0" distB="0" distL="114300" distR="114300" simplePos="0" relativeHeight="251659264" behindDoc="0" locked="0" layoutInCell="1" allowOverlap="1">
                <wp:simplePos x="0" y="0"/>
                <wp:positionH relativeFrom="column">
                  <wp:posOffset>-38735</wp:posOffset>
                </wp:positionH>
                <wp:positionV relativeFrom="paragraph">
                  <wp:posOffset>52070</wp:posOffset>
                </wp:positionV>
                <wp:extent cx="5686425" cy="0"/>
                <wp:effectExtent l="18415" t="13970" r="19685" b="14605"/>
                <wp:wrapNone/>
                <wp:docPr id="1" name="直接箭头连接符 1"/>
                <wp:cNvGraphicFramePr/>
                <a:graphic xmlns:a="http://schemas.openxmlformats.org/drawingml/2006/main">
                  <a:graphicData uri="http://schemas.microsoft.com/office/word/2010/wordprocessingShape">
                    <wps:wsp>
                      <wps:cNvCnPr>
                        <a:cxnSpLocks noChangeShapeType="1"/>
                      </wps:cNvCnPr>
                      <wps:spPr bwMode="auto">
                        <a:xfrm>
                          <a:off x="0" y="0"/>
                          <a:ext cx="5686425" cy="0"/>
                        </a:xfrm>
                        <a:prstGeom prst="straightConnector1">
                          <a:avLst/>
                        </a:prstGeom>
                        <a:noFill/>
                        <a:ln w="25400">
                          <a:solidFill>
                            <a:srgbClr val="FF0000"/>
                          </a:solidFill>
                          <a:round/>
                        </a:ln>
                      </wps:spPr>
                      <wps:bodyPr/>
                    </wps:wsp>
                  </a:graphicData>
                </a:graphic>
              </wp:anchor>
            </w:drawing>
          </mc:Choice>
          <mc:Fallback>
            <w:pict>
              <v:shape id="_x0000_s1026" o:spid="_x0000_s1026" o:spt="32" type="#_x0000_t32" style="position:absolute;left:0pt;margin-left:-3.05pt;margin-top:4.1pt;height:0pt;width:447.75pt;z-index:251659264;mso-width-relative:page;mso-height-relative:page;" filled="f" stroked="t" coordsize="21600,21600" o:gfxdata="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SIsS71QAAAAYBAAAPAAAAAAAAAAEAIAAAACIAAABkcnMvZG93bnJldi54bWxQSwEC&#10;FAAUAAAACACHTuJA7fLpr/cBAAC/AwAADgAAAAAAAAABACAAAAAkAQAAZHJzL2Uyb0RvYy54bWxQ&#10;SwUGAAAAAAYABgBZAQAAjQUAAAAA&#10;">
                <v:fill on="f" focussize="0,0"/>
                <v:stroke weight="2pt" color="#FF0000" joinstyle="round"/>
                <v:imagedata o:title=""/>
                <o:lock v:ext="edit" aspectratio="f"/>
              </v:shape>
            </w:pict>
          </mc:Fallback>
        </mc:AlternateContent>
      </w:r>
    </w:p>
    <w:p>
      <w:pPr>
        <w:ind w:firstLine="3200" w:firstLineChars="1000"/>
        <w:rPr>
          <w:rFonts w:hint="eastAsia" w:ascii="宋体" w:hAnsi="宋体" w:eastAsia="宋体" w:cs="宋体"/>
          <w:b w:val="0"/>
          <w:bCs/>
          <w:sz w:val="32"/>
          <w:szCs w:val="32"/>
          <w:lang w:val="en-US" w:eastAsia="zh-CN"/>
        </w:rPr>
      </w:pPr>
      <w:bookmarkStart w:id="0" w:name="_GoBack"/>
      <w:bookmarkEnd w:id="0"/>
      <w:r>
        <w:rPr>
          <w:rFonts w:hint="eastAsia" w:ascii="宋体" w:hAnsi="宋体" w:eastAsia="宋体" w:cs="宋体"/>
          <w:b w:val="0"/>
          <w:bCs/>
          <w:sz w:val="32"/>
          <w:szCs w:val="32"/>
          <w:lang w:val="en-US" w:eastAsia="zh-CN"/>
        </w:rPr>
        <w:t>商水县气象局</w:t>
      </w:r>
    </w:p>
    <w:p>
      <w:pPr>
        <w:ind w:firstLine="640" w:firstLineChars="200"/>
        <w:rPr>
          <w:rFonts w:hint="eastAsia" w:ascii="宋体" w:hAnsi="宋体" w:eastAsia="宋体" w:cs="宋体"/>
          <w:b w:val="0"/>
          <w:bCs/>
          <w:sz w:val="32"/>
          <w:szCs w:val="32"/>
          <w:lang w:val="en-US" w:eastAsia="zh-CN"/>
        </w:rPr>
      </w:pPr>
      <w:r>
        <w:rPr>
          <w:rFonts w:hint="eastAsia" w:ascii="宋体" w:hAnsi="宋体" w:eastAsia="宋体" w:cs="宋体"/>
          <w:b w:val="0"/>
          <w:bCs/>
          <w:sz w:val="32"/>
          <w:szCs w:val="32"/>
          <w:lang w:val="en-US" w:eastAsia="zh-CN"/>
        </w:rPr>
        <w:t>关于印发《商水县气象局双随机一公开抽查工作实施细则》的通知</w:t>
      </w:r>
    </w:p>
    <w:p>
      <w:pPr>
        <w:rPr>
          <w:rFonts w:hint="eastAsia" w:ascii="宋体" w:hAnsi="宋体" w:eastAsia="宋体" w:cs="宋体"/>
          <w:b w:val="0"/>
          <w:bCs/>
          <w:sz w:val="32"/>
          <w:szCs w:val="32"/>
          <w:lang w:val="en-US" w:eastAsia="zh-CN"/>
        </w:rPr>
      </w:pPr>
      <w:r>
        <w:rPr>
          <w:rFonts w:hint="eastAsia" w:ascii="宋体" w:hAnsi="宋体" w:eastAsia="宋体" w:cs="宋体"/>
          <w:b w:val="0"/>
          <w:bCs/>
          <w:sz w:val="32"/>
          <w:szCs w:val="32"/>
          <w:lang w:val="en-US" w:eastAsia="zh-CN"/>
        </w:rPr>
        <w:t>局各股室、气象台（中心）：</w:t>
      </w:r>
    </w:p>
    <w:p>
      <w:pPr>
        <w:rPr>
          <w:rFonts w:hint="default" w:ascii="宋体" w:hAnsi="宋体" w:eastAsia="宋体" w:cs="宋体"/>
          <w:b w:val="0"/>
          <w:bCs/>
          <w:sz w:val="32"/>
          <w:szCs w:val="32"/>
          <w:lang w:val="en-US" w:eastAsia="zh-CN"/>
        </w:rPr>
      </w:pPr>
      <w:r>
        <w:rPr>
          <w:rFonts w:hint="eastAsia" w:ascii="宋体" w:hAnsi="宋体" w:eastAsia="宋体" w:cs="宋体"/>
          <w:b w:val="0"/>
          <w:bCs/>
          <w:sz w:val="32"/>
          <w:szCs w:val="32"/>
          <w:lang w:val="en-US" w:eastAsia="zh-CN"/>
        </w:rPr>
        <w:t xml:space="preserve">    为贯彻落实省、市、县关于做好“双随机一公开”抽查工作，结合我局实际，制定了《商水县气象局双随机一公开抽查工作实施细则》印发给你们，请认真贯彻执行。</w:t>
      </w:r>
    </w:p>
    <w:p>
      <w:pPr>
        <w:spacing w:line="580" w:lineRule="exact"/>
        <w:ind w:firstLine="640" w:firstLineChars="200"/>
        <w:jc w:val="center"/>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p>
    <w:p>
      <w:pPr>
        <w:spacing w:line="580" w:lineRule="exact"/>
        <w:ind w:firstLine="640" w:firstLineChars="200"/>
        <w:jc w:val="center"/>
        <w:rPr>
          <w:rFonts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商水县气象局</w:t>
      </w:r>
    </w:p>
    <w:p>
      <w:pPr>
        <w:spacing w:line="580" w:lineRule="exact"/>
        <w:ind w:firstLine="640" w:firstLineChars="200"/>
        <w:jc w:val="center"/>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2</w:t>
      </w:r>
      <w:r>
        <w:rPr>
          <w:rFonts w:ascii="仿宋_GB2312" w:eastAsia="仿宋_GB2312"/>
          <w:sz w:val="32"/>
          <w:szCs w:val="32"/>
        </w:rPr>
        <w:t>02</w:t>
      </w:r>
      <w:r>
        <w:rPr>
          <w:rFonts w:hint="eastAsia" w:ascii="仿宋_GB2312" w:eastAsia="仿宋_GB2312"/>
          <w:sz w:val="32"/>
          <w:szCs w:val="32"/>
          <w:lang w:val="en-US" w:eastAsia="zh-CN"/>
        </w:rPr>
        <w:t>1</w:t>
      </w:r>
      <w:r>
        <w:rPr>
          <w:rFonts w:hint="eastAsia" w:ascii="仿宋_GB2312" w:eastAsia="仿宋_GB2312"/>
          <w:sz w:val="32"/>
          <w:szCs w:val="32"/>
        </w:rPr>
        <w:t>年</w:t>
      </w:r>
      <w:r>
        <w:rPr>
          <w:rFonts w:hint="eastAsia" w:ascii="仿宋_GB2312" w:eastAsia="仿宋_GB2312"/>
          <w:sz w:val="32"/>
          <w:szCs w:val="32"/>
          <w:lang w:val="en-US" w:eastAsia="zh-CN"/>
        </w:rPr>
        <w:t>3</w:t>
      </w:r>
      <w:r>
        <w:rPr>
          <w:rFonts w:hint="eastAsia" w:ascii="仿宋_GB2312" w:eastAsia="仿宋_GB2312"/>
          <w:sz w:val="32"/>
          <w:szCs w:val="32"/>
        </w:rPr>
        <w:t>月1</w:t>
      </w:r>
      <w:r>
        <w:rPr>
          <w:rFonts w:ascii="仿宋_GB2312" w:eastAsia="仿宋_GB2312"/>
          <w:sz w:val="32"/>
          <w:szCs w:val="32"/>
        </w:rPr>
        <w:t>1</w:t>
      </w:r>
      <w:r>
        <w:rPr>
          <w:rFonts w:hint="eastAsia" w:ascii="仿宋_GB2312" w:eastAsia="仿宋_GB2312"/>
          <w:sz w:val="32"/>
          <w:szCs w:val="32"/>
        </w:rPr>
        <w:t>日</w:t>
      </w:r>
    </w:p>
    <w:p>
      <w:pPr>
        <w:spacing w:line="580" w:lineRule="exact"/>
        <w:ind w:firstLine="640" w:firstLineChars="200"/>
        <w:jc w:val="both"/>
        <w:rPr>
          <w:rFonts w:hint="eastAsia" w:ascii="仿宋_GB2312" w:eastAsia="仿宋_GB2312"/>
          <w:sz w:val="32"/>
          <w:szCs w:val="32"/>
        </w:rPr>
      </w:pPr>
    </w:p>
    <w:p>
      <w:pPr>
        <w:spacing w:line="580" w:lineRule="exact"/>
        <w:jc w:val="both"/>
        <w:rPr>
          <w:rFonts w:hint="eastAsia" w:ascii="仿宋_GB2312" w:eastAsia="仿宋_GB2312"/>
          <w:sz w:val="32"/>
          <w:szCs w:val="32"/>
          <w:lang w:val="en-US" w:eastAsia="zh-CN"/>
        </w:rPr>
      </w:pPr>
    </w:p>
    <w:p>
      <w:pPr>
        <w:spacing w:line="580" w:lineRule="exact"/>
        <w:jc w:val="both"/>
        <w:rPr>
          <w:rFonts w:hint="eastAsia" w:ascii="仿宋_GB2312" w:eastAsia="仿宋_GB2312"/>
          <w:sz w:val="32"/>
          <w:szCs w:val="32"/>
          <w:lang w:val="en-US" w:eastAsia="zh-CN"/>
        </w:rPr>
      </w:pPr>
    </w:p>
    <w:p>
      <w:pPr>
        <w:spacing w:line="580" w:lineRule="exact"/>
        <w:jc w:val="both"/>
        <w:rPr>
          <w:rFonts w:hint="eastAsia" w:ascii="宋体" w:hAnsi="宋体" w:eastAsia="宋体" w:cs="宋体"/>
          <w:b w:val="0"/>
          <w:bCs/>
          <w:sz w:val="32"/>
          <w:szCs w:val="32"/>
          <w:lang w:val="en-US" w:eastAsia="zh-CN"/>
        </w:rPr>
      </w:pPr>
      <w:r>
        <w:rPr>
          <w:rFonts w:hint="eastAsia" w:ascii="仿宋_GB2312" w:eastAsia="仿宋_GB2312"/>
          <w:sz w:val="32"/>
          <w:szCs w:val="32"/>
          <w:lang w:val="en-US" w:eastAsia="zh-CN"/>
        </w:rPr>
        <w:t>附：</w:t>
      </w:r>
      <w:r>
        <w:rPr>
          <w:rFonts w:hint="eastAsia" w:ascii="宋体" w:hAnsi="宋体" w:eastAsia="宋体" w:cs="宋体"/>
          <w:b w:val="0"/>
          <w:bCs/>
          <w:sz w:val="32"/>
          <w:szCs w:val="32"/>
          <w:lang w:val="en-US" w:eastAsia="zh-CN"/>
        </w:rPr>
        <w:t>《商水县气象局双随机一公开抽查工作实施细则》</w:t>
      </w:r>
    </w:p>
    <w:p>
      <w:pPr>
        <w:spacing w:line="580" w:lineRule="exact"/>
        <w:jc w:val="both"/>
        <w:rPr>
          <w:rFonts w:hint="eastAsia" w:ascii="宋体" w:hAnsi="宋体" w:eastAsia="宋体" w:cs="宋体"/>
          <w:b w:val="0"/>
          <w:bCs/>
          <w:sz w:val="32"/>
          <w:szCs w:val="32"/>
          <w:lang w:val="en-US" w:eastAsia="zh-CN"/>
        </w:rPr>
      </w:pPr>
    </w:p>
    <w:p>
      <w:pPr>
        <w:spacing w:line="580" w:lineRule="exact"/>
        <w:jc w:val="both"/>
        <w:rPr>
          <w:rFonts w:hint="eastAsia" w:ascii="宋体" w:hAnsi="宋体" w:eastAsia="宋体" w:cs="宋体"/>
          <w:b w:val="0"/>
          <w:bCs/>
          <w:sz w:val="32"/>
          <w:szCs w:val="32"/>
          <w:lang w:val="en-US" w:eastAsia="zh-CN"/>
        </w:rPr>
      </w:pPr>
    </w:p>
    <w:p>
      <w:pPr>
        <w:spacing w:line="580" w:lineRule="exact"/>
        <w:jc w:val="both"/>
        <w:rPr>
          <w:rFonts w:hint="eastAsia" w:ascii="宋体" w:hAnsi="宋体" w:eastAsia="宋体" w:cs="宋体"/>
          <w:b w:val="0"/>
          <w:bCs/>
          <w:sz w:val="32"/>
          <w:szCs w:val="32"/>
          <w:lang w:val="en-US" w:eastAsia="zh-CN"/>
        </w:rPr>
      </w:pPr>
    </w:p>
    <w:p>
      <w:pPr>
        <w:spacing w:line="580" w:lineRule="exact"/>
        <w:jc w:val="both"/>
        <w:rPr>
          <w:rFonts w:hint="eastAsia" w:ascii="宋体" w:hAnsi="宋体" w:eastAsia="宋体" w:cs="宋体"/>
          <w:b w:val="0"/>
          <w:bCs/>
          <w:sz w:val="32"/>
          <w:szCs w:val="32"/>
          <w:lang w:val="en-US" w:eastAsia="zh-CN"/>
        </w:rPr>
      </w:pPr>
    </w:p>
    <w:p>
      <w:pPr>
        <w:spacing w:line="580" w:lineRule="exact"/>
        <w:jc w:val="both"/>
        <w:rPr>
          <w:rFonts w:hint="eastAsia" w:ascii="宋体" w:hAnsi="宋体" w:eastAsia="宋体" w:cs="宋体"/>
          <w:b w:val="0"/>
          <w:bCs/>
          <w:sz w:val="32"/>
          <w:szCs w:val="32"/>
          <w:lang w:val="en-US" w:eastAsia="zh-CN"/>
        </w:rPr>
      </w:pPr>
    </w:p>
    <w:p>
      <w:pPr>
        <w:ind w:firstLine="1281" w:firstLineChars="400"/>
        <w:rPr>
          <w:rFonts w:hint="eastAsia"/>
          <w:b/>
          <w:bCs/>
          <w:sz w:val="32"/>
          <w:szCs w:val="32"/>
        </w:rPr>
      </w:pPr>
      <w:r>
        <w:rPr>
          <w:rFonts w:hint="eastAsia"/>
          <w:b/>
          <w:bCs/>
          <w:sz w:val="32"/>
          <w:szCs w:val="32"/>
          <w:lang w:val="en-US" w:eastAsia="zh-CN"/>
        </w:rPr>
        <w:t>商水</w:t>
      </w:r>
      <w:r>
        <w:rPr>
          <w:b/>
          <w:bCs/>
          <w:sz w:val="32"/>
          <w:szCs w:val="32"/>
        </w:rPr>
        <w:t>县气象局 “双随机一公开”工作实施细则</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第一条 为进一步推进简政放权、放管结合、优化服务改革， 建立健全科学的随机抽查机制，提高事中事后监管的效率和执行力，制定本实施细则。</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第二条 实施“双随机一公开”的监督检查方式是：在依法实施监督检查时，采取按一定比例随机方式抽取被抽查对象及执法检查人员，检查结束后，向社会公开检查结果。</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第三条 “双随机一公开”的工作原则：依法监管、统筹安排、综合实施，公正、公开、高效、透明。</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第四条 局执法股负责协调统筹“双随机一公开”工作。</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第五条 根据法律、法规和规章的有关规定，按照权责清单，梳理依法实施的监督检查职责，制定随机抽查事项清单，明确事项名称、内容、依据等，通过县政府网站对外公示。</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第六条 随机抽查事项包括以下几类：防雷减灾管理、施放气球管理、气象信息服务管理。</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第七条 每年至少开展1轮抽查工作，检查方式为实地检查、 书面检查等形式，逐步实现抽查事项全覆盖和抽查过程、抽查结果的全公开。对于被投诉举报较多、有严重违法违规记录等问题 的被抽检对象，要加大随机抽查力度，适时提高抽查次数、比例和频次。</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第八条 根据随机抽查事项清单，统一建立抽查对象名录库，动态确定抽查频次，动态调整抽查对象名录库。</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第九条 依据中国气象局核发的行政执法证，建立执法检查人员名录库。执法检查人员名录库根据人员变动、岗位调整等因素进行动态调整。</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第十条 每年年初制定年度检查计划，包括被抽查对象的范围、对执法检查人员的要求、抽查的比例和频次、实施检查的时间等。</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第十一条 按照检查要求，从被抽查对象名录库中随机抽取被抽查对象进行检查。</w:t>
      </w:r>
    </w:p>
    <w:p>
      <w:pPr>
        <w:rPr>
          <w:rFonts w:hint="eastAsia" w:ascii="宋体" w:hAnsi="宋体" w:eastAsia="宋体" w:cs="宋体"/>
          <w:sz w:val="32"/>
          <w:szCs w:val="32"/>
        </w:rPr>
      </w:pPr>
      <w:r>
        <w:rPr>
          <w:rFonts w:hint="eastAsia" w:ascii="宋体" w:hAnsi="宋体" w:eastAsia="宋体" w:cs="宋体"/>
          <w:sz w:val="32"/>
          <w:szCs w:val="32"/>
        </w:rPr>
        <w:t>第十二条 执法检查时从执法检查人员名录库中随机抽选不少于两名执法检查人员开展检查工作。</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第十三条 实施“双随机”抽查前，执法股要组织执法检查人员进行业务培训，熟悉抽查内容、抽查方式和抽查流程，确保“双随机”抽查取得实际效果。</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第十四条 开展执法检查时，执法检查人员要出示执法证件，填写实地检查记录表，如实记录检查情况，并由被抽查对象签字、盖章确认。无法取得签字或盖章的，执法检查人员要注明原因，必要时可请有关人员见证。执法检查人员与抽查对象有利害关系的，应依法回避。</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第十五条 单次检查工作结束后应完成检查报告。检查报告应当包括检查时间、检查内容、检查情况、对被抽查对象的处理意见和建议等内容。</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第十六条 对抽查中发现问题的被抽查对象，应当依法作出处理。</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第十七条 开展“双随机一公开”工作，应当严格遵守法律法规规章制度，遵守工作纪律，依法行政、廉洁执法。</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第十八条 执法检查人员不依照本实施细则开展“双随机一公开”工作，造成严重后果的，依法依纪追究责任。</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第十九条 每年对“双随机一公开”工作进行总结，分析检查工作取得的经验和存在的问题，不断改进检查方式方法，提高执法监督检查工作的针对性。</w:t>
      </w:r>
    </w:p>
    <w:p>
      <w:pPr>
        <w:ind w:firstLine="640" w:firstLineChars="200"/>
        <w:rPr>
          <w:rFonts w:hint="eastAsia" w:ascii="宋体" w:hAnsi="宋体" w:eastAsia="宋体" w:cs="宋体"/>
          <w:sz w:val="32"/>
          <w:szCs w:val="32"/>
        </w:rPr>
      </w:pPr>
      <w:r>
        <w:rPr>
          <w:rFonts w:hint="eastAsia" w:ascii="宋体" w:hAnsi="宋体" w:eastAsia="宋体" w:cs="宋体"/>
          <w:sz w:val="32"/>
          <w:szCs w:val="32"/>
        </w:rPr>
        <w:t>第二十条 本细则自</w:t>
      </w:r>
      <w:r>
        <w:rPr>
          <w:rFonts w:hint="eastAsia" w:ascii="宋体" w:hAnsi="宋体" w:eastAsia="宋体" w:cs="宋体"/>
          <w:sz w:val="32"/>
          <w:szCs w:val="32"/>
          <w:lang w:val="en-US" w:eastAsia="zh-CN"/>
        </w:rPr>
        <w:t>公布之日</w:t>
      </w:r>
      <w:r>
        <w:rPr>
          <w:rFonts w:hint="eastAsia" w:ascii="宋体" w:hAnsi="宋体" w:eastAsia="宋体" w:cs="宋体"/>
          <w:sz w:val="32"/>
          <w:szCs w:val="32"/>
        </w:rPr>
        <w:t>起施行。</w:t>
      </w:r>
    </w:p>
    <w:p>
      <w:pPr>
        <w:rPr>
          <w:rFonts w:hint="eastAsia" w:ascii="宋体" w:hAnsi="宋体" w:eastAsia="宋体" w:cs="宋体"/>
          <w:sz w:val="32"/>
          <w:szCs w:val="32"/>
        </w:rPr>
      </w:pPr>
    </w:p>
    <w:p>
      <w:pPr>
        <w:spacing w:line="580" w:lineRule="exact"/>
        <w:jc w:val="both"/>
        <w:rPr>
          <w:rFonts w:hint="eastAsia" w:ascii="宋体" w:hAnsi="宋体" w:eastAsia="宋体" w:cs="宋体"/>
          <w:b w:val="0"/>
          <w:bCs/>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Noto Sans Mono CJK JP Regular">
    <w:altName w:val="微软雅黑"/>
    <w:panose1 w:val="00000000000000000000"/>
    <w:charset w:val="00"/>
    <w:family w:val="swiss"/>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NlZjMzZmE1YzRmM2Y2MTc2MDRkNmMyM2UxMTc3M2YifQ=="/>
  </w:docVars>
  <w:rsids>
    <w:rsidRoot w:val="00442FFC"/>
    <w:rsid w:val="00442FFC"/>
    <w:rsid w:val="00A75664"/>
    <w:rsid w:val="00A954C7"/>
    <w:rsid w:val="00C70C6C"/>
    <w:rsid w:val="00CE72B0"/>
    <w:rsid w:val="00E22FF1"/>
    <w:rsid w:val="00EF6379"/>
    <w:rsid w:val="00F8027A"/>
    <w:rsid w:val="1AA157BF"/>
    <w:rsid w:val="256B13EC"/>
    <w:rsid w:val="418036D2"/>
    <w:rsid w:val="45B140CB"/>
    <w:rsid w:val="546D0290"/>
    <w:rsid w:val="688E2782"/>
    <w:rsid w:val="796E74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nhideWhenUsed="0"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5"/>
    <w:basedOn w:val="1"/>
    <w:next w:val="1"/>
    <w:link w:val="7"/>
    <w:qFormat/>
    <w:uiPriority w:val="9"/>
    <w:pPr>
      <w:widowControl/>
      <w:spacing w:before="100" w:beforeAutospacing="1" w:after="100" w:afterAutospacing="1"/>
      <w:jc w:val="left"/>
      <w:outlineLvl w:val="4"/>
    </w:pPr>
    <w:rPr>
      <w:rFonts w:ascii="宋体" w:hAnsi="宋体" w:eastAsia="宋体" w:cs="宋体"/>
      <w:b/>
      <w:bCs/>
      <w:kern w:val="0"/>
      <w:sz w:val="20"/>
      <w:szCs w:val="20"/>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Body Text"/>
    <w:basedOn w:val="1"/>
    <w:qFormat/>
    <w:uiPriority w:val="1"/>
    <w:pPr>
      <w:ind w:left="108"/>
    </w:pPr>
    <w:rPr>
      <w:rFonts w:ascii="Noto Sans Mono CJK JP Regular" w:hAnsi="Noto Sans Mono CJK JP Regular" w:eastAsia="Noto Sans Mono CJK JP Regular" w:cs="Noto Sans Mono CJK JP Regular"/>
      <w:sz w:val="32"/>
      <w:szCs w:val="32"/>
    </w:rPr>
  </w:style>
  <w:style w:type="paragraph" w:styleId="4">
    <w:name w:val="Normal (Web)"/>
    <w:basedOn w:val="1"/>
    <w:semiHidden/>
    <w:unhideWhenUsed/>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7">
    <w:name w:val="标题 5 字符"/>
    <w:basedOn w:val="6"/>
    <w:link w:val="3"/>
    <w:uiPriority w:val="9"/>
    <w:rPr>
      <w:rFonts w:ascii="宋体" w:hAnsi="宋体" w:eastAsia="宋体" w:cs="宋体"/>
      <w:b/>
      <w:bCs/>
      <w:kern w:val="0"/>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1326</Words>
  <Characters>1334</Characters>
  <Lines>13</Lines>
  <Paragraphs>3</Paragraphs>
  <TotalTime>4</TotalTime>
  <ScaleCrop>false</ScaleCrop>
  <LinksUpToDate>false</LinksUpToDate>
  <CharactersWithSpaces>1407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2023-01-11T01:58:00Z</dcterms:created>
  <dc:creator>李 嘉昂</dc:creator>
  <cp:lastModifiedBy>防灾减灾办</cp:lastModifiedBy>
  <dcterms:modified xsi:type="dcterms:W3CDTF">2023-05-15T10:22:18Z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23EBE206B7F249B88B32B208025C23F9_13</vt:lpwstr>
  </property>
</Properties>
</file>